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w:t>
      </w:r>
    </w:p>
    <w:p w:rsidR="00000000" w:rsidDel="00000000" w:rsidP="00000000" w:rsidRDefault="00000000" w:rsidRPr="00000000" w14:paraId="0000000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creating this app, we asked ourselves, ‘What do Torontonians need in order to switch to more sustainable modes of transportation, like walking or biking?’. We found that a barrier to using these modes of transportation was feeling unsafe on Toronto’s streets. Active transportation is a fundamental element of sustainable urban mobility, yet the infrastructure supporting it continues to be disproportionately hazardous. In Toronto, cyclists and pedestrians face significant safety risks as the city is ranked among the most dangerous for active transportation in North America. A primary component of this is the abundance of incomplete and disconnected cycling infrastructure across the city. This problem is further compounded by the city’s lack of complete collision data. Due to the proliferation of underreporting and bias within reporting, only 20% of collision data is captured in official databases for cyclists – this number is even lower when considering pedestrian collisions. This creates a cyclical issue: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gap in collision data prevents cities from creating actionable plans to improve infrastructure, resulting in little to no impact on the improvement of active transportation safety levels, which leads to collisions occurring at the same rate in the same area without getting reported. The problem is not visible, thus the issue never gets addressed.</w:t>
      </w:r>
    </w:p>
    <w:p w:rsidR="00000000" w:rsidDel="00000000" w:rsidP="00000000" w:rsidRDefault="00000000" w:rsidRPr="00000000" w14:paraId="00000003">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MoveSafe TO seeks to solve this problem by crowdsourcing collision data. Crowdsourcing allows for better spatial and temporal coverage when compared to traditional police reports, insurance claims, and hospital reports. As it stands, the current collision reporting tool for the city is convoluted, time-consuming, and requires citizens to have direct contact with the police. These are major barriers to collecting adequate data on cyclist and pedestrian collisions. MoveSafe TO allows users to easily submit reports quickly and easily, bringing information that would have likely been lost to a platform that can be viewed by planners, researchers, and the public. The concept is simple:</w:t>
      </w:r>
      <w:r w:rsidDel="00000000" w:rsidR="00000000" w:rsidRPr="00000000">
        <w:rPr>
          <w:rFonts w:ascii="Times New Roman" w:cs="Times New Roman" w:eastAsia="Times New Roman" w:hAnsi="Times New Roman"/>
          <w:sz w:val="24"/>
          <w:szCs w:val="24"/>
          <w:rtl w:val="0"/>
        </w:rPr>
        <w:t xml:space="preserve"> users</w:t>
      </w:r>
      <w:r w:rsidDel="00000000" w:rsidR="00000000" w:rsidRPr="00000000">
        <w:rPr>
          <w:rFonts w:ascii="Times New Roman" w:cs="Times New Roman" w:eastAsia="Times New Roman" w:hAnsi="Times New Roman"/>
          <w:sz w:val="24"/>
          <w:szCs w:val="24"/>
          <w:rtl w:val="0"/>
        </w:rPr>
        <w:t xml:space="preserve"> submit their reports through the app, the data improves, the map becomes more accurate, and in turn, community safety improves. Users of all types also are able to see important insights, like rates of different injury classifications, and how these relate to road classes. This lets users better understand their environment, and plan their routes with more complete knowledge of their safety. They also have the option of visualizing a ‘safety score’ for all Toronto streets based on road classification, cycling infrastructure, and collision density. The app has the potential to not only provide a much-needed dataset, but also aid in how we can better understand and improve infrastructure for pedestrians and cyclists.</w:t>
      </w:r>
    </w:p>
    <w:p w:rsidR="00000000" w:rsidDel="00000000" w:rsidP="00000000" w:rsidRDefault="00000000" w:rsidRPr="00000000" w14:paraId="0000000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being restricted to a week of development, ideas concerning the future for MoveSafeTO are promising. With more user-submissions, city planners and decision-makers may be able to better justify investments in safer infrastructure, helping to make cycling and walking more approachable for the people of Toronto. Additionally, by using crowd-sourced collision data, those who do choose to walk or bike to their destination can make thoughtful decisions around choosing their routes to avoid areas of high collisions. In the future, we hope to integrate a routing tool that redirects users using our weighted safety score index to help them avoid areas dense with collisions and prioritize routes with the best safety infrastructure. With these future considerations, the current implementation of MoveSafe TO creates a foundation for development going forward.</w:t>
      </w:r>
    </w:p>
    <w:p w:rsidR="00000000" w:rsidDel="00000000" w:rsidP="00000000" w:rsidRDefault="00000000" w:rsidRPr="00000000" w14:paraId="00000005">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36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8">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Agran, P. F., Castillo, D. N., &amp; Winn, D. G. (1990). Limitations of data compiled from police reports on pediatric pedestrian and bicycle motor vehicle events. </w:t>
      </w:r>
      <w:r w:rsidDel="00000000" w:rsidR="00000000" w:rsidRPr="00000000">
        <w:rPr>
          <w:rFonts w:ascii="Times New Roman" w:cs="Times New Roman" w:eastAsia="Times New Roman" w:hAnsi="Times New Roman"/>
          <w:i w:val="1"/>
          <w:iCs w:val="1"/>
          <w:sz w:val="24"/>
          <w:szCs w:val="24"/>
          <w:highlight w:val="white"/>
          <w:rtl w:val="0"/>
        </w:rPr>
        <w:t xml:space="preserve">Accident Analysis &amp; Prevention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22</w:t>
      </w:r>
      <w:r w:rsidDel="00000000" w:rsidR="00000000" w:rsidRPr="00000000">
        <w:rPr>
          <w:rFonts w:ascii="Times New Roman" w:cs="Times New Roman" w:eastAsia="Times New Roman" w:hAnsi="Times New Roman"/>
          <w:sz w:val="24"/>
          <w:szCs w:val="24"/>
          <w:highlight w:val="white"/>
          <w:rtl w:val="0"/>
        </w:rPr>
        <w:t xml:space="preserve">(4), 361–370.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https://doi.org/10.1016/0001-4575(90)90051-l</w:t>
        </w:r>
      </w:hyperlink>
      <w:r w:rsidDel="00000000" w:rsidR="00000000" w:rsidRPr="00000000">
        <w:rPr>
          <w:rtl w:val="0"/>
        </w:rPr>
      </w:r>
    </w:p>
    <w:p w:rsidR="00000000" w:rsidDel="00000000" w:rsidP="00000000" w:rsidRDefault="00000000" w:rsidRPr="00000000" w14:paraId="00000009">
      <w:pPr>
        <w:ind w:left="54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Branion-Calles, M., Nelson, T., &amp; Winters, M. (2017). Comparing Crowdsourced Near-Miss and Collision Cycling Data and Official Bike Safety Reporting. </w:t>
      </w:r>
      <w:r w:rsidDel="00000000" w:rsidR="00000000" w:rsidRPr="00000000">
        <w:rPr>
          <w:rFonts w:ascii="Times New Roman" w:cs="Times New Roman" w:eastAsia="Times New Roman" w:hAnsi="Times New Roman"/>
          <w:i w:val="1"/>
          <w:iCs w:val="1"/>
          <w:sz w:val="24"/>
          <w:szCs w:val="24"/>
          <w:rtl w:val="0"/>
        </w:rPr>
        <w:t xml:space="preserve">Transportation Research Record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2662</w:t>
      </w:r>
      <w:r w:rsidDel="00000000" w:rsidR="00000000" w:rsidRPr="00000000">
        <w:rPr>
          <w:rFonts w:ascii="Times New Roman" w:cs="Times New Roman" w:eastAsia="Times New Roman" w:hAnsi="Times New Roman"/>
          <w:sz w:val="24"/>
          <w:szCs w:val="24"/>
          <w:rtl w:val="0"/>
        </w:rPr>
        <w:t xml:space="preserve">(1), 1–11. https://doi.org/10.3141/2662-01</w:t>
      </w:r>
    </w:p>
    <w:p w:rsidR="00000000" w:rsidDel="00000000" w:rsidP="00000000" w:rsidRDefault="00000000" w:rsidRPr="00000000" w14:paraId="0000000B">
      <w:pPr>
        <w:ind w:left="54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&amp; Nanos Research. (2019). </w:t>
      </w:r>
      <w:r w:rsidDel="00000000" w:rsidR="00000000" w:rsidRPr="00000000">
        <w:rPr>
          <w:rFonts w:ascii="Times New Roman" w:cs="Times New Roman" w:eastAsia="Times New Roman" w:hAnsi="Times New Roman"/>
          <w:i w:val="1"/>
          <w:iCs w:val="1"/>
          <w:sz w:val="24"/>
          <w:szCs w:val="24"/>
          <w:rtl w:val="0"/>
        </w:rPr>
        <w:t xml:space="preserve">City of Toronto Cycling Study</w:t>
      </w:r>
      <w:r w:rsidDel="00000000" w:rsidR="00000000" w:rsidRPr="00000000">
        <w:rPr>
          <w:rFonts w:ascii="Times New Roman" w:cs="Times New Roman" w:eastAsia="Times New Roman" w:hAnsi="Times New Roman"/>
          <w:sz w:val="24"/>
          <w:szCs w:val="24"/>
          <w:rtl w:val="0"/>
        </w:rPr>
        <w:t xml:space="preserve">. Nanos Research. </w:t>
      </w:r>
      <w:hyperlink r:id="rId7">
        <w:r w:rsidDel="00000000" w:rsidR="00000000" w:rsidRPr="00000000">
          <w:rPr>
            <w:rFonts w:ascii="Times New Roman" w:cs="Times New Roman" w:eastAsia="Times New Roman" w:hAnsi="Times New Roman"/>
            <w:color w:val="1155cc"/>
            <w:sz w:val="24"/>
            <w:szCs w:val="24"/>
            <w:u w:val="single"/>
            <w:rtl w:val="0"/>
          </w:rPr>
          <w:t xml:space="preserve">https://www.toronto.ca/wp-content/uploads/2021/04/8f76-2019-Cycling-Public-Option-Survey-City-of-Toronto-Cycling.pdf</w:t>
        </w:r>
      </w:hyperlink>
      <w:r w:rsidDel="00000000" w:rsidR="00000000" w:rsidRPr="00000000">
        <w:rPr>
          <w:rtl w:val="0"/>
        </w:rPr>
      </w:r>
    </w:p>
    <w:p w:rsidR="00000000" w:rsidDel="00000000" w:rsidP="00000000" w:rsidRDefault="00000000" w:rsidRPr="00000000" w14:paraId="0000000D">
      <w:pPr>
        <w:spacing w:after="240" w:before="240" w:lineRule="auto"/>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Faghih Imani, A., Miller, E. J., &amp; Saxe, S. (2019). Cycle accessibility and level of traffic stress: A case study of toronto. </w:t>
      </w:r>
      <w:r w:rsidDel="00000000" w:rsidR="00000000" w:rsidRPr="00000000">
        <w:rPr>
          <w:rFonts w:ascii="Times New Roman" w:cs="Times New Roman" w:eastAsia="Times New Roman" w:hAnsi="Times New Roman"/>
          <w:i w:val="1"/>
          <w:iCs w:val="1"/>
          <w:sz w:val="24"/>
          <w:szCs w:val="24"/>
          <w:rtl w:val="0"/>
        </w:rPr>
        <w:t xml:space="preserve">Journal of Transport Geography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 102496. </w:t>
      </w:r>
      <w:hyperlink r:id="rId8">
        <w:r w:rsidDel="00000000" w:rsidR="00000000" w:rsidRPr="00000000">
          <w:rPr>
            <w:rFonts w:ascii="Times New Roman" w:cs="Times New Roman" w:eastAsia="Times New Roman" w:hAnsi="Times New Roman"/>
            <w:sz w:val="24"/>
            <w:szCs w:val="24"/>
            <w:u w:val="single"/>
            <w:rtl w:val="0"/>
          </w:rPr>
          <w:t xml:space="preserve">https://doi.org/10.1016/j.jtrangeo.2019.102496</w:t>
        </w:r>
      </w:hyperlink>
      <w:r w:rsidDel="00000000" w:rsidR="00000000" w:rsidRPr="00000000">
        <w:rPr>
          <w:rtl w:val="0"/>
        </w:rPr>
      </w:r>
    </w:p>
    <w:p w:rsidR="00000000" w:rsidDel="00000000" w:rsidP="00000000" w:rsidRDefault="00000000" w:rsidRPr="00000000" w14:paraId="0000000E">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Fischer, J., Nelson, T., Laberee, K., &amp; Winters, M. (2020). What does crowdsourced data tell us about bicycling injury? A case study in a mid-sized Canadian city. </w:t>
      </w:r>
      <w:r w:rsidDel="00000000" w:rsidR="00000000" w:rsidRPr="00000000">
        <w:rPr>
          <w:rFonts w:ascii="Times New Roman" w:cs="Times New Roman" w:eastAsia="Times New Roman" w:hAnsi="Times New Roman"/>
          <w:i w:val="1"/>
          <w:iCs w:val="1"/>
          <w:sz w:val="24"/>
          <w:szCs w:val="24"/>
          <w:rtl w:val="0"/>
        </w:rPr>
        <w:t xml:space="preserve">Accident Analysis and Prevention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145</w:t>
      </w:r>
      <w:r w:rsidDel="00000000" w:rsidR="00000000" w:rsidRPr="00000000">
        <w:rPr>
          <w:rFonts w:ascii="Times New Roman" w:cs="Times New Roman" w:eastAsia="Times New Roman" w:hAnsi="Times New Roman"/>
          <w:sz w:val="24"/>
          <w:szCs w:val="24"/>
          <w:rtl w:val="0"/>
        </w:rPr>
        <w:t xml:space="preserve">, Article 105695. https://doi.org/10.1016/j.aap.2020.105695</w:t>
      </w:r>
    </w:p>
    <w:p w:rsidR="00000000" w:rsidDel="00000000" w:rsidP="00000000" w:rsidRDefault="00000000" w:rsidRPr="00000000" w14:paraId="0000000F">
      <w:pPr>
        <w:spacing w:after="240" w:before="240" w:lineRule="auto"/>
        <w:ind w:left="540" w:hanging="45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Irving, T. (2019, September 11). </w:t>
      </w:r>
      <w:r w:rsidDel="00000000" w:rsidR="00000000" w:rsidRPr="00000000">
        <w:rPr>
          <w:rFonts w:ascii="Times New Roman" w:cs="Times New Roman" w:eastAsia="Times New Roman" w:hAnsi="Times New Roman"/>
          <w:i w:val="1"/>
          <w:iCs w:val="1"/>
          <w:sz w:val="24"/>
          <w:szCs w:val="24"/>
          <w:rtl w:val="0"/>
        </w:rPr>
        <w:t xml:space="preserve">Why don’t more Torontonians Bike to work? U of T study points to disconnected cycling infrastructure</w:t>
      </w:r>
      <w:r w:rsidDel="00000000" w:rsidR="00000000" w:rsidRPr="00000000">
        <w:rPr>
          <w:rFonts w:ascii="Times New Roman" w:cs="Times New Roman" w:eastAsia="Times New Roman" w:hAnsi="Times New Roman"/>
          <w:sz w:val="24"/>
          <w:szCs w:val="24"/>
          <w:rtl w:val="0"/>
        </w:rPr>
        <w:t xml:space="preserve">. University of Toronto. </w:t>
      </w:r>
      <w:hyperlink r:id="rId9">
        <w:r w:rsidDel="00000000" w:rsidR="00000000" w:rsidRPr="00000000">
          <w:rPr>
            <w:rFonts w:ascii="Times New Roman" w:cs="Times New Roman" w:eastAsia="Times New Roman" w:hAnsi="Times New Roman"/>
            <w:sz w:val="24"/>
            <w:szCs w:val="24"/>
            <w:u w:val="single"/>
            <w:rtl w:val="0"/>
          </w:rPr>
          <w:t xml:space="preserve">https://www.utoronto.ca/news/why-don-t-more-torontonians-bike-work-u-t-study-points-disconnected-cycling-infrastructure</w:t>
        </w:r>
      </w:hyperlink>
      <w:r w:rsidDel="00000000" w:rsidR="00000000" w:rsidRPr="00000000">
        <w:rPr>
          <w:rtl w:val="0"/>
        </w:rPr>
      </w:r>
    </w:p>
    <w:p w:rsidR="00000000" w:rsidDel="00000000" w:rsidP="00000000" w:rsidRDefault="00000000" w:rsidRPr="00000000" w14:paraId="00000010">
      <w:pPr>
        <w:spacing w:after="240" w:before="240" w:lineRule="auto"/>
        <w:ind w:left="540" w:hanging="45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Janstrup, K. H., Kaplan, S., Hels, T., Lauritsen, J., &amp; Prato, C. G. (2016). Understanding traffic crash under-reporting: Linking police and medical records to individual and crash characteristics. </w:t>
      </w:r>
      <w:r w:rsidDel="00000000" w:rsidR="00000000" w:rsidRPr="00000000">
        <w:rPr>
          <w:rFonts w:ascii="Times New Roman" w:cs="Times New Roman" w:eastAsia="Times New Roman" w:hAnsi="Times New Roman"/>
          <w:i w:val="1"/>
          <w:iCs w:val="1"/>
          <w:sz w:val="24"/>
          <w:szCs w:val="24"/>
          <w:highlight w:val="white"/>
          <w:rtl w:val="0"/>
        </w:rPr>
        <w:t xml:space="preserve">Traffic Injury Prevention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(6), 580–584. </w:t>
      </w:r>
      <w:hyperlink r:id="rId10">
        <w:r w:rsidDel="00000000" w:rsidR="00000000" w:rsidRPr="00000000">
          <w:rPr>
            <w:rFonts w:ascii="Times New Roman" w:cs="Times New Roman" w:eastAsia="Times New Roman" w:hAnsi="Times New Roman"/>
            <w:sz w:val="24"/>
            <w:szCs w:val="24"/>
            <w:highlight w:val="white"/>
            <w:u w:val="single"/>
            <w:rtl w:val="0"/>
          </w:rPr>
          <w:t xml:space="preserve">https://doi.org/10.1080/15389588.2015.1128533</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1">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ind w:left="540" w:hanging="45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Loo, B. P. Y., &amp; Tsui, K. L. (2007). Factors affecting the likelihood of reporting road crashes resulting in medical treatment to the police. </w:t>
      </w:r>
      <w:r w:rsidDel="00000000" w:rsidR="00000000" w:rsidRPr="00000000">
        <w:rPr>
          <w:rFonts w:ascii="Times New Roman" w:cs="Times New Roman" w:eastAsia="Times New Roman" w:hAnsi="Times New Roman"/>
          <w:i w:val="1"/>
          <w:iCs w:val="1"/>
          <w:sz w:val="24"/>
          <w:szCs w:val="24"/>
          <w:highlight w:val="white"/>
          <w:rtl w:val="0"/>
        </w:rPr>
        <w:t xml:space="preserve">Injury Prevention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13</w:t>
      </w:r>
      <w:r w:rsidDel="00000000" w:rsidR="00000000" w:rsidRPr="00000000">
        <w:rPr>
          <w:rFonts w:ascii="Times New Roman" w:cs="Times New Roman" w:eastAsia="Times New Roman" w:hAnsi="Times New Roman"/>
          <w:sz w:val="24"/>
          <w:szCs w:val="24"/>
          <w:highlight w:val="white"/>
          <w:rtl w:val="0"/>
        </w:rPr>
        <w:t xml:space="preserve">(3), 186–189.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https://doi.org/10.1136/ip.2006.013458</w:t>
        </w:r>
      </w:hyperlink>
      <w:r w:rsidDel="00000000" w:rsidR="00000000" w:rsidRPr="00000000">
        <w:rPr>
          <w:rtl w:val="0"/>
        </w:rPr>
      </w:r>
    </w:p>
    <w:p w:rsidR="00000000" w:rsidDel="00000000" w:rsidP="00000000" w:rsidRDefault="00000000" w:rsidRPr="00000000" w14:paraId="00000013">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Loidl, M., Traun, C., &amp; Wallentin, G. (2016). Spatial patterns and temporal dynamics of urban bicycle crashes—A case study from Salzburg (Austria). </w:t>
      </w:r>
      <w:r w:rsidDel="00000000" w:rsidR="00000000" w:rsidRPr="00000000">
        <w:rPr>
          <w:rFonts w:ascii="Times New Roman" w:cs="Times New Roman" w:eastAsia="Times New Roman" w:hAnsi="Times New Roman"/>
          <w:i w:val="1"/>
          <w:iCs w:val="1"/>
          <w:sz w:val="24"/>
          <w:szCs w:val="24"/>
          <w:rtl w:val="0"/>
        </w:rPr>
        <w:t xml:space="preserve">Journal of Transport Geography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38–50. https://doi.org/10.1016/j.jtrangeo.2016.02.008</w:t>
      </w:r>
    </w:p>
    <w:p w:rsidR="00000000" w:rsidDel="00000000" w:rsidP="00000000" w:rsidRDefault="00000000" w:rsidRPr="00000000" w14:paraId="00000015">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ind w:left="540" w:hanging="45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Macpherson, A. K., Zagorski, B., Saskin, R., Howard, A. W., Harris, M. A., Namin, S., &amp; Rothman, L. (2024). Comparison of the number of pedestrian and cyclist injuries captured in police data compared with health service utilisation data in Toronto, Canada 2016-2021. </w:t>
      </w:r>
      <w:r w:rsidDel="00000000" w:rsidR="00000000" w:rsidRPr="00000000">
        <w:rPr>
          <w:rFonts w:ascii="Times New Roman" w:cs="Times New Roman" w:eastAsia="Times New Roman" w:hAnsi="Times New Roman"/>
          <w:i w:val="1"/>
          <w:iCs w:val="1"/>
          <w:sz w:val="24"/>
          <w:szCs w:val="24"/>
          <w:highlight w:val="white"/>
          <w:rtl w:val="0"/>
        </w:rPr>
        <w:t xml:space="preserve">Injury prevention : journal of the International Society for Child and Adolescent Injury Prevention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30</w:t>
      </w:r>
      <w:r w:rsidDel="00000000" w:rsidR="00000000" w:rsidRPr="00000000">
        <w:rPr>
          <w:rFonts w:ascii="Times New Roman" w:cs="Times New Roman" w:eastAsia="Times New Roman" w:hAnsi="Times New Roman"/>
          <w:sz w:val="24"/>
          <w:szCs w:val="24"/>
          <w:highlight w:val="white"/>
          <w:rtl w:val="0"/>
        </w:rPr>
        <w:t xml:space="preserve">(2), 161–166. </w:t>
      </w:r>
      <w:hyperlink r:id="rId12">
        <w:r w:rsidDel="00000000" w:rsidR="00000000" w:rsidRPr="00000000">
          <w:rPr>
            <w:rFonts w:ascii="Times New Roman" w:cs="Times New Roman" w:eastAsia="Times New Roman" w:hAnsi="Times New Roman"/>
            <w:sz w:val="24"/>
            <w:szCs w:val="24"/>
            <w:highlight w:val="white"/>
            <w:u w:val="single"/>
            <w:rtl w:val="0"/>
          </w:rPr>
          <w:t xml:space="preserve">https://doi.org/10.1136/ip-2023-044974</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7">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Miranda-Moreno, L. F., Morency, P., &amp; El-Geneidy, A. M. (2011). The link between built environment, pedestrian activity and pedestrian–vehicle collision occurrence at signalized intersections. </w:t>
      </w:r>
      <w:r w:rsidDel="00000000" w:rsidR="00000000" w:rsidRPr="00000000">
        <w:rPr>
          <w:rFonts w:ascii="Times New Roman" w:cs="Times New Roman" w:eastAsia="Times New Roman" w:hAnsi="Times New Roman"/>
          <w:i w:val="1"/>
          <w:iCs w:val="1"/>
          <w:sz w:val="24"/>
          <w:szCs w:val="24"/>
          <w:rtl w:val="0"/>
        </w:rPr>
        <w:t xml:space="preserve">Accident Analysis and Prevention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(5), 1624–1634. https://doi.org/10.1016/j.aap.2011.02.005</w:t>
      </w:r>
    </w:p>
    <w:p w:rsidR="00000000" w:rsidDel="00000000" w:rsidP="00000000" w:rsidRDefault="00000000" w:rsidRPr="00000000" w14:paraId="00000019">
      <w:pPr>
        <w:spacing w:after="240" w:before="240" w:lineRule="auto"/>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Murphy, J. (2018, July 15). </w:t>
      </w:r>
      <w:r w:rsidDel="00000000" w:rsidR="00000000" w:rsidRPr="00000000">
        <w:rPr>
          <w:rFonts w:ascii="Times New Roman" w:cs="Times New Roman" w:eastAsia="Times New Roman" w:hAnsi="Times New Roman"/>
          <w:i w:val="1"/>
          <w:iCs w:val="1"/>
          <w:sz w:val="24"/>
          <w:szCs w:val="24"/>
          <w:rtl w:val="0"/>
        </w:rPr>
        <w:t xml:space="preserve">How dangerous are toronto streets for the city’s cyclists?</w:t>
      </w:r>
      <w:r w:rsidDel="00000000" w:rsidR="00000000" w:rsidRPr="00000000">
        <w:rPr>
          <w:rFonts w:ascii="Times New Roman" w:cs="Times New Roman" w:eastAsia="Times New Roman" w:hAnsi="Times New Roman"/>
          <w:sz w:val="24"/>
          <w:szCs w:val="24"/>
          <w:rtl w:val="0"/>
        </w:rPr>
        <w:t xml:space="preserve"> BBC News. </w:t>
      </w:r>
      <w:hyperlink r:id="rId13">
        <w:r w:rsidDel="00000000" w:rsidR="00000000" w:rsidRPr="00000000">
          <w:rPr>
            <w:rFonts w:ascii="Times New Roman" w:cs="Times New Roman" w:eastAsia="Times New Roman" w:hAnsi="Times New Roman"/>
            <w:sz w:val="24"/>
            <w:szCs w:val="24"/>
            <w:u w:val="single"/>
            <w:rtl w:val="0"/>
          </w:rPr>
          <w:t xml:space="preserve">https://www.bbc.com/news/world-us-canada-44746889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ind w:left="540" w:hanging="45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Sciortino, S., Vassar, M., Radetsky, M., &amp; Knudson, M. M. (2005). San Francisco pedestrian injury surveillance: Mapping, under-reporting, and injury severity in police and hospital records. </w:t>
      </w:r>
      <w:r w:rsidDel="00000000" w:rsidR="00000000" w:rsidRPr="00000000">
        <w:rPr>
          <w:rFonts w:ascii="Times New Roman" w:cs="Times New Roman" w:eastAsia="Times New Roman" w:hAnsi="Times New Roman"/>
          <w:i w:val="1"/>
          <w:iCs w:val="1"/>
          <w:sz w:val="24"/>
          <w:szCs w:val="24"/>
          <w:highlight w:val="white"/>
          <w:rtl w:val="0"/>
        </w:rPr>
        <w:t xml:space="preserve">Accident Analysis &amp; Prevention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37</w:t>
      </w:r>
      <w:r w:rsidDel="00000000" w:rsidR="00000000" w:rsidRPr="00000000">
        <w:rPr>
          <w:rFonts w:ascii="Times New Roman" w:cs="Times New Roman" w:eastAsia="Times New Roman" w:hAnsi="Times New Roman"/>
          <w:sz w:val="24"/>
          <w:szCs w:val="24"/>
          <w:highlight w:val="white"/>
          <w:rtl w:val="0"/>
        </w:rPr>
        <w:t xml:space="preserve">(6), 1102–1113.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https://doi.org/10.1016/j.aap.2005.06.010</w:t>
        </w:r>
      </w:hyperlink>
      <w:r w:rsidDel="00000000" w:rsidR="00000000" w:rsidRPr="00000000">
        <w:rPr>
          <w:rtl w:val="0"/>
        </w:rPr>
      </w:r>
    </w:p>
    <w:p w:rsidR="00000000" w:rsidDel="00000000" w:rsidP="00000000" w:rsidRDefault="00000000" w:rsidRPr="00000000" w14:paraId="0000001C">
      <w:pPr>
        <w:ind w:left="540" w:hanging="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H., De Backer, H., Lauwers, D., &amp; Chang, S. K. J. (2019). A spatio-temporal mapping to assess bicycle collision risks on high-risk areas (Bridges) - A case study from Taipei (Taiwan). </w:t>
      </w:r>
      <w:r w:rsidDel="00000000" w:rsidR="00000000" w:rsidRPr="00000000">
        <w:rPr>
          <w:rFonts w:ascii="Times New Roman" w:cs="Times New Roman" w:eastAsia="Times New Roman" w:hAnsi="Times New Roman"/>
          <w:i w:val="1"/>
          <w:iCs w:val="1"/>
          <w:sz w:val="24"/>
          <w:szCs w:val="24"/>
          <w:rtl w:val="0"/>
        </w:rPr>
        <w:t xml:space="preserve">Journal of Transport Geography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 94–109.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https://doi.org/10.1016/j.jtrangeo.2019.01.014</w:t>
        </w:r>
      </w:hyperlink>
      <w:r w:rsidDel="00000000" w:rsidR="00000000" w:rsidRPr="00000000">
        <w:rPr>
          <w:rtl w:val="0"/>
        </w:rPr>
      </w:r>
    </w:p>
    <w:p w:rsidR="00000000" w:rsidDel="00000000" w:rsidP="00000000" w:rsidRDefault="00000000" w:rsidRPr="00000000" w14:paraId="0000001E">
      <w:pPr>
        <w:ind w:left="54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Winters, M., Beairsto, J., Ferster, C., Laberee, K., Manaugh, K., &amp; Nelson, T. (2022). The Canadian Bikeway Comfort and Safety metrics (Can-BICS): National measures of the bicycling environment for use in research and policy. Statistics Canada, Health Reports (Catalogue no. 82-003-X). </w:t>
      </w:r>
      <w:hyperlink r:id="rId16">
        <w:r w:rsidDel="00000000" w:rsidR="00000000" w:rsidRPr="00000000">
          <w:rPr>
            <w:rFonts w:ascii="Times New Roman" w:cs="Times New Roman" w:eastAsia="Times New Roman" w:hAnsi="Times New Roman"/>
            <w:color w:val="1155cc"/>
            <w:sz w:val="24"/>
            <w:szCs w:val="24"/>
            <w:u w:val="single"/>
            <w:rtl w:val="0"/>
          </w:rPr>
          <w:t xml:space="preserve">https://www.doi.org/10.25318/82-003-x202201000001-eng</w:t>
        </w:r>
      </w:hyperlink>
      <w:r w:rsidDel="00000000" w:rsidR="00000000" w:rsidRPr="00000000">
        <w:rPr>
          <w:rtl w:val="0"/>
        </w:rPr>
      </w:r>
    </w:p>
    <w:p w:rsidR="00000000" w:rsidDel="00000000" w:rsidP="00000000" w:rsidRDefault="00000000" w:rsidRPr="00000000" w14:paraId="00000020">
      <w:pPr>
        <w:ind w:left="54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Winters, M., &amp; Branion-Calles, M. (2017). Cycling safety: Quantifying the under reporting of cycling incidents in Vancouver, British Columbia. </w:t>
      </w:r>
      <w:r w:rsidDel="00000000" w:rsidR="00000000" w:rsidRPr="00000000">
        <w:rPr>
          <w:rFonts w:ascii="Times New Roman" w:cs="Times New Roman" w:eastAsia="Times New Roman" w:hAnsi="Times New Roman"/>
          <w:i w:val="1"/>
          <w:iCs w:val="1"/>
          <w:sz w:val="24"/>
          <w:szCs w:val="24"/>
          <w:rtl w:val="0"/>
        </w:rPr>
        <w:t xml:space="preserve">Journal of Transport &amp;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48–53. https://doi.org/10.1016/j.jth.2017.02.010</w:t>
      </w:r>
    </w:p>
    <w:p w:rsidR="00000000" w:rsidDel="00000000" w:rsidP="00000000" w:rsidRDefault="00000000" w:rsidRPr="00000000" w14:paraId="00000022">
      <w:pPr>
        <w:spacing w:after="240" w:before="240" w:lineRule="auto"/>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Winters, M., Zanotto, M., &amp; Butler, G. (2020). The Canadian Bikeway Comfort and safety (can-BICS) classification system: A common naming convention for Cycling Infrastructure. </w:t>
      </w:r>
      <w:r w:rsidDel="00000000" w:rsidR="00000000" w:rsidRPr="00000000">
        <w:rPr>
          <w:rFonts w:ascii="Times New Roman" w:cs="Times New Roman" w:eastAsia="Times New Roman" w:hAnsi="Times New Roman"/>
          <w:i w:val="1"/>
          <w:iCs w:val="1"/>
          <w:sz w:val="24"/>
          <w:szCs w:val="24"/>
          <w:rtl w:val="0"/>
        </w:rPr>
        <w:t xml:space="preserve">Health Promotion and Chronic Disease Prevention in Canada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(9), 288–293.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https://doi.org/10.24095/hpcdp.40.9.04</w:t>
        </w:r>
      </w:hyperlink>
      <w:r w:rsidDel="00000000" w:rsidR="00000000" w:rsidRPr="00000000">
        <w:rPr>
          <w:rtl w:val="0"/>
        </w:rPr>
      </w:r>
    </w:p>
    <w:p w:rsidR="00000000" w:rsidDel="00000000" w:rsidP="00000000" w:rsidRDefault="00000000" w:rsidRPr="00000000" w14:paraId="00000023">
      <w:pPr>
        <w:ind w:left="54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Yiannakoulias, N., Bennet, S. A., &amp; Scott, D. M. (2012). Mapping commuter cycling risk in urban areas. </w:t>
      </w:r>
      <w:r w:rsidDel="00000000" w:rsidR="00000000" w:rsidRPr="00000000">
        <w:rPr>
          <w:rFonts w:ascii="Times New Roman" w:cs="Times New Roman" w:eastAsia="Times New Roman" w:hAnsi="Times New Roman"/>
          <w:i w:val="1"/>
          <w:iCs w:val="1"/>
          <w:sz w:val="24"/>
          <w:szCs w:val="24"/>
          <w:rtl w:val="0"/>
        </w:rPr>
        <w:t xml:space="preserve">Accident Analysis and Prevention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 164–172.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https://doi.org/10.1016/j.aap.2011.12.002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36/ip.2006.013458" TargetMode="External"/><Relationship Id="rId10" Type="http://schemas.openxmlformats.org/officeDocument/2006/relationships/hyperlink" Target="https://doi.org/10.1080/15389588.2015.1128533" TargetMode="External"/><Relationship Id="rId13" Type="http://schemas.openxmlformats.org/officeDocument/2006/relationships/hyperlink" Target="https://www.bbc.com/news/world-us-canada-44746889" TargetMode="External"/><Relationship Id="rId12" Type="http://schemas.openxmlformats.org/officeDocument/2006/relationships/hyperlink" Target="https://doi.org/10.1136/ip-2023-0449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toronto.ca/news/why-don-t-more-torontonians-bike-work-u-t-study-points-disconnected-cycling-infrastructure" TargetMode="External"/><Relationship Id="rId15" Type="http://schemas.openxmlformats.org/officeDocument/2006/relationships/hyperlink" Target="https://doi.org/10.1016/j.jtrangeo.2019.01.014" TargetMode="External"/><Relationship Id="rId14" Type="http://schemas.openxmlformats.org/officeDocument/2006/relationships/hyperlink" Target="https://doi.org/10.1016/j.aap.2005.06.010" TargetMode="External"/><Relationship Id="rId17" Type="http://schemas.openxmlformats.org/officeDocument/2006/relationships/hyperlink" Target="https://doi.org/10.24095/hpcdp.40.9.04" TargetMode="External"/><Relationship Id="rId16" Type="http://schemas.openxmlformats.org/officeDocument/2006/relationships/hyperlink" Target="https://www.doi.org/10.25318/82-003-x202201000001-eng" TargetMode="External"/><Relationship Id="rId5" Type="http://schemas.openxmlformats.org/officeDocument/2006/relationships/styles" Target="styles.xml"/><Relationship Id="rId6" Type="http://schemas.openxmlformats.org/officeDocument/2006/relationships/hyperlink" Target="https://doi.org/10.1016/0001-4575(90)90051-l" TargetMode="External"/><Relationship Id="rId18" Type="http://schemas.openxmlformats.org/officeDocument/2006/relationships/hyperlink" Target="https://doi.org/10.1016/j.aap.2011.12.002" TargetMode="External"/><Relationship Id="rId7" Type="http://schemas.openxmlformats.org/officeDocument/2006/relationships/hyperlink" Target="https://www.toronto.ca/wp-content/uploads/2021/04/8f76-2019-Cycling-Public-Option-Survey-City-of-Toronto-Cycling.pdf" TargetMode="External"/><Relationship Id="rId8" Type="http://schemas.openxmlformats.org/officeDocument/2006/relationships/hyperlink" Target="https://doi.org/10.1016/j.jtrangeo.2019.102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